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Style w:val="None"/>
          <w:rtl w:val="0"/>
          <w:lang w:val="en-US"/>
        </w:rPr>
        <w:t>Set Class Composition</w:t>
      </w:r>
    </w:p>
    <w:p>
      <w:pPr>
        <w:pStyle w:val="Body A"/>
        <w:spacing w:before="320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Name: _________________________________________________________</w:t>
      </w:r>
    </w:p>
    <w:p>
      <w:pPr>
        <w:pStyle w:val="Body A"/>
      </w:pPr>
    </w:p>
    <w:p>
      <w:pPr>
        <w:pStyle w:val="Body A"/>
        <w:spacing w:line="36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Compose an unaccompanied piece for your instrument using set classes.</w:t>
      </w:r>
    </w:p>
    <w:p>
      <w:pPr>
        <w:pStyle w:val="Body A"/>
        <w:spacing w:line="360" w:lineRule="auto"/>
        <w:rPr>
          <w:rStyle w:val="None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>Form:</w:t>
      </w:r>
      <w:r>
        <w:rPr>
          <w:rStyle w:val="None"/>
          <w:sz w:val="24"/>
          <w:szCs w:val="24"/>
          <w:rtl w:val="0"/>
          <w:lang w:val="en-US"/>
        </w:rPr>
        <w:t xml:space="preserve"> Your piece should be in ABA</w:t>
      </w:r>
      <w:r>
        <w:rPr>
          <w:rStyle w:val="None"/>
          <w:sz w:val="24"/>
          <w:szCs w:val="24"/>
          <w:rtl w:val="0"/>
          <w:lang w:val="en-US"/>
        </w:rPr>
        <w:t xml:space="preserve">’ </w:t>
      </w:r>
      <w:r>
        <w:rPr>
          <w:rStyle w:val="None"/>
          <w:sz w:val="24"/>
          <w:szCs w:val="24"/>
          <w:rtl w:val="0"/>
          <w:lang w:val="en-US"/>
        </w:rPr>
        <w:t>form, about 24 measures long (eight measures for each section).</w:t>
      </w:r>
    </w:p>
    <w:p>
      <w:pPr>
        <w:pStyle w:val="Body A"/>
        <w:numPr>
          <w:ilvl w:val="0"/>
          <w:numId w:val="3"/>
        </w:numPr>
        <w:bidi w:val="0"/>
        <w:spacing w:line="36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Pitch content </w:t>
      </w:r>
    </w:p>
    <w:p>
      <w:pPr>
        <w:pStyle w:val="Body A"/>
        <w:numPr>
          <w:ilvl w:val="1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Refer back to your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"https://viva.pressbooks.pub/openmusictheory/chapter/normal-order/%23assignments"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>Composition Prep Worksheet</w:t>
      </w:r>
      <w:r>
        <w:rPr>
          <w:sz w:val="24"/>
          <w:szCs w:val="24"/>
        </w:rPr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>. Your A and B sections will be based on set classes A and B respectively. You will incorporate two T</w:t>
      </w:r>
      <w:r>
        <w:rPr>
          <w:rStyle w:val="None"/>
          <w:sz w:val="24"/>
          <w:szCs w:val="24"/>
          <w:vertAlign w:val="subscript"/>
          <w:rtl w:val="0"/>
          <w:lang w:val="en-US"/>
        </w:rPr>
        <w:t>n</w:t>
      </w:r>
      <w:r>
        <w:rPr>
          <w:rStyle w:val="None"/>
          <w:sz w:val="24"/>
          <w:szCs w:val="24"/>
          <w:rtl w:val="0"/>
          <w:lang w:val="en-US"/>
        </w:rPr>
        <w:t xml:space="preserve"> forms and two I</w:t>
      </w:r>
      <w:r>
        <w:rPr>
          <w:rStyle w:val="None"/>
          <w:sz w:val="24"/>
          <w:szCs w:val="24"/>
          <w:vertAlign w:val="subscript"/>
          <w:rtl w:val="0"/>
          <w:lang w:val="en-US"/>
        </w:rPr>
        <w:t xml:space="preserve">n </w:t>
      </w:r>
      <w:r>
        <w:rPr>
          <w:rStyle w:val="None"/>
          <w:sz w:val="24"/>
          <w:szCs w:val="24"/>
          <w:rtl w:val="0"/>
          <w:lang w:val="en-US"/>
        </w:rPr>
        <w:t>forms of both sets A and B.</w:t>
      </w:r>
    </w:p>
    <w:p>
      <w:pPr>
        <w:pStyle w:val="Body A"/>
        <w:numPr>
          <w:ilvl w:val="1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Nearly all of your melody (and harmony, if applicable) should somehow be composed with these sets.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Rhythm and meter:</w:t>
      </w:r>
      <w:r>
        <w:rPr>
          <w:rStyle w:val="None"/>
          <w:sz w:val="24"/>
          <w:szCs w:val="24"/>
          <w:rtl w:val="0"/>
          <w:lang w:val="en-US"/>
        </w:rPr>
        <w:t xml:space="preserve"> No restrictions (but remember, you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ll play it later!)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Expression markings:</w:t>
      </w:r>
      <w:r>
        <w:rPr>
          <w:rStyle w:val="None"/>
          <w:sz w:val="24"/>
          <w:szCs w:val="24"/>
          <w:rtl w:val="0"/>
          <w:lang w:val="en-US"/>
        </w:rPr>
        <w:t xml:space="preserve"> Include slurs, accents, etc. to indicate expressivity.</w:t>
      </w:r>
    </w:p>
    <w:p>
      <w:pPr>
        <w:pStyle w:val="Body A"/>
        <w:spacing w:line="360" w:lineRule="auto"/>
        <w:rPr>
          <w:rStyle w:val="None"/>
          <w:sz w:val="24"/>
          <w:szCs w:val="24"/>
        </w:rPr>
      </w:pPr>
    </w:p>
    <w:p>
      <w:pPr>
        <w:pStyle w:val="Body A"/>
        <w:spacing w:line="36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You will submit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three documents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, as described below: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Your Composition Prep Worksheet (as reference only)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One clean </w:t>
      </w:r>
      <w:r>
        <w:rPr>
          <w:rStyle w:val="None"/>
          <w:sz w:val="24"/>
          <w:szCs w:val="24"/>
          <w:rtl w:val="0"/>
          <w:lang w:val="en-US"/>
        </w:rPr>
        <w:t>score</w:t>
      </w:r>
      <w:r>
        <w:rPr>
          <w:rStyle w:val="None"/>
          <w:sz w:val="24"/>
          <w:szCs w:val="24"/>
          <w:rtl w:val="0"/>
          <w:lang w:val="en-US"/>
        </w:rPr>
        <w:t>, for performance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One annotated copy of your score, with all your sets and transformations (T</w:t>
      </w:r>
      <w:r>
        <w:rPr>
          <w:rStyle w:val="None"/>
          <w:sz w:val="24"/>
          <w:szCs w:val="24"/>
          <w:vertAlign w:val="subscript"/>
          <w:rtl w:val="0"/>
          <w:lang w:val="en-US"/>
        </w:rPr>
        <w:t>n</w:t>
      </w:r>
      <w:r>
        <w:rPr>
          <w:rStyle w:val="None"/>
          <w:sz w:val="24"/>
          <w:szCs w:val="24"/>
          <w:rtl w:val="0"/>
          <w:lang w:val="en-US"/>
        </w:rPr>
        <w:t xml:space="preserve"> and I</w:t>
      </w:r>
      <w:r>
        <w:rPr>
          <w:rStyle w:val="None"/>
          <w:sz w:val="24"/>
          <w:szCs w:val="24"/>
          <w:vertAlign w:val="subscript"/>
          <w:rtl w:val="0"/>
          <w:lang w:val="en-US"/>
        </w:rPr>
        <w:t>n</w:t>
      </w:r>
      <w:r>
        <w:rPr>
          <w:rStyle w:val="None"/>
          <w:sz w:val="24"/>
          <w:szCs w:val="24"/>
          <w:rtl w:val="0"/>
          <w:lang w:val="en-US"/>
        </w:rPr>
        <w:t>) clearly circled and labeled</w:t>
      </w:r>
      <w:r>
        <w:rPr>
          <w:rStyle w:val="None"/>
          <w:sz w:val="24"/>
          <w:szCs w:val="24"/>
          <w:rtl w:val="0"/>
          <w:lang w:val="en-US"/>
        </w:rPr>
        <w:t xml:space="preserve"> (see Example Composition on page 3)</w:t>
      </w:r>
      <w:r>
        <w:rPr>
          <w:rStyle w:val="None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With a circle, show the grouping of all the notes that belong to the same set.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Labels should show the primary pc set and its relationship to that set: e.g.,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T</w:t>
      </w:r>
      <w:r>
        <w:rPr>
          <w:rStyle w:val="None"/>
          <w:sz w:val="24"/>
          <w:szCs w:val="24"/>
          <w:vertAlign w:val="subscript"/>
          <w:rtl w:val="0"/>
          <w:lang w:val="en-US"/>
        </w:rPr>
        <w:t>4</w:t>
      </w:r>
      <w:r>
        <w:rPr>
          <w:rStyle w:val="None"/>
          <w:sz w:val="24"/>
          <w:szCs w:val="24"/>
          <w:rtl w:val="0"/>
          <w:lang w:val="en-US"/>
        </w:rPr>
        <w:t>(A)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or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I</w:t>
      </w:r>
      <w:r>
        <w:rPr>
          <w:rStyle w:val="None"/>
          <w:sz w:val="24"/>
          <w:szCs w:val="24"/>
          <w:vertAlign w:val="subscript"/>
          <w:rtl w:val="0"/>
          <w:lang w:val="en-US"/>
        </w:rPr>
        <w:t>6</w:t>
      </w:r>
      <w:r>
        <w:rPr>
          <w:rStyle w:val="None"/>
          <w:sz w:val="24"/>
          <w:szCs w:val="24"/>
          <w:rtl w:val="0"/>
          <w:lang w:val="en-US"/>
        </w:rPr>
        <w:t>(B)</w:t>
      </w:r>
      <w:r>
        <w:rPr>
          <w:rStyle w:val="None"/>
          <w:sz w:val="24"/>
          <w:szCs w:val="24"/>
          <w:rtl w:val="0"/>
          <w:lang w:val="en-US"/>
        </w:rPr>
        <w:t>”</w:t>
      </w:r>
      <w:r>
        <w:rPr>
          <w:rStyle w:val="None"/>
          <w:sz w:val="24"/>
          <w:szCs w:val="24"/>
          <w:rtl w:val="0"/>
          <w:lang w:val="en-US"/>
        </w:rPr>
        <w:t>.</w:t>
      </w:r>
      <w:r>
        <w:rPr>
          <w:rStyle w:val="None"/>
          <w:sz w:val="24"/>
          <w:szCs w:val="24"/>
        </w:rPr>
        <w:br w:type="textWrapping"/>
      </w:r>
    </w:p>
    <w:p>
      <w:pPr>
        <w:pStyle w:val="Body A"/>
        <w:spacing w:line="36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You will be assessed on the following concepts:</w:t>
      </w: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Understanding of set classes and transformations</w:t>
      </w: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Tying the form of the piece to the contrasting A and B motives</w:t>
      </w: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Expressive markings</w:t>
      </w: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Analysis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None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64407</wp:posOffset>
            </wp:positionH>
            <wp:positionV relativeFrom="line">
              <wp:posOffset>454688</wp:posOffset>
            </wp:positionV>
            <wp:extent cx="5872843" cy="725562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843" cy="7255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None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-158750</wp:posOffset>
            </wp:positionH>
            <wp:positionV relativeFrom="line">
              <wp:posOffset>819533</wp:posOffset>
            </wp:positionV>
            <wp:extent cx="5943600" cy="45596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Free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spacing w:after="240" w:line="360" w:lineRule="atLeast"/>
      <w:jc w:val="center"/>
    </w:pPr>
    <w:r>
      <w:rPr>
        <w:rStyle w:val="None"/>
        <w:rFonts w:ascii="FreeSerif" w:hAnsi="FreeSerif"/>
        <w:sz w:val="20"/>
        <w:szCs w:val="20"/>
        <w:rtl w:val="0"/>
        <w:lang w:val="en-US"/>
      </w:rPr>
      <w:t>Megan Lavengood</w:t>
    </w:r>
    <w:r>
      <w:rPr>
        <w:rFonts w:ascii="FreeSerif" w:hAnsi="FreeSerif"/>
        <w:sz w:val="20"/>
        <w:szCs w:val="20"/>
        <w:rtl w:val="0"/>
      </w:rPr>
      <w:t xml:space="preserve">. </w:t>
    </w:r>
    <w:r>
      <w:rPr>
        <w:rStyle w:val="None"/>
        <w:rFonts w:ascii="FreeSerif" w:hAnsi="FreeSerif" w:hint="default"/>
        <w:sz w:val="20"/>
        <w:szCs w:val="20"/>
        <w:rtl w:val="0"/>
        <w:lang w:val="de-DE"/>
      </w:rPr>
      <w:t xml:space="preserve">© </w:t>
    </w:r>
    <w:r>
      <w:rPr>
        <w:rFonts w:ascii="FreeSerif" w:hAnsi="FreeSerif"/>
        <w:sz w:val="20"/>
        <w:szCs w:val="20"/>
        <w:rtl w:val="0"/>
        <w:lang w:val="en-US"/>
      </w:rPr>
      <w:t>2021</w:t>
    </w:r>
    <w:r>
      <w:rPr>
        <w:rFonts w:ascii="FreeSerif" w:hAnsi="FreeSerif"/>
        <w:sz w:val="20"/>
        <w:szCs w:val="20"/>
        <w:rtl w:val="0"/>
      </w:rPr>
      <w:t>. CC BY</w:t>
    </w:r>
    <w:r>
      <w:rPr>
        <w:rFonts w:ascii="FreeSerif" w:hAnsi="FreeSerif" w:hint="default"/>
        <w:sz w:val="20"/>
        <w:szCs w:val="20"/>
        <w:rtl w:val="0"/>
      </w:rPr>
      <w:t>–</w:t>
    </w:r>
    <w:r>
      <w:rPr>
        <w:rFonts w:ascii="FreeSerif" w:hAnsi="FreeSerif"/>
        <w:sz w:val="20"/>
        <w:szCs w:val="20"/>
        <w:rtl w:val="0"/>
      </w:rPr>
      <w:t>SA 4.0.</w:t>
    </w:r>
    <w:r>
      <w:rPr>
        <w:rFonts w:ascii="FreeSerif" w:cs="FreeSerif" w:hAnsi="FreeSerif" w:eastAsia="FreeSerif"/>
        <w:sz w:val="20"/>
        <w:szCs w:val="20"/>
      </w:rPr>
      <w:br w:type="textWrapping"/>
    </w:r>
    <w:r>
      <w:rPr>
        <w:rFonts w:ascii="FreeSerif" w:hAnsi="FreeSerif"/>
        <w:sz w:val="20"/>
        <w:szCs w:val="20"/>
        <w:rtl w:val="0"/>
        <w:lang w:val="en-US"/>
      </w:rPr>
      <w:t xml:space="preserve">Page </w:t>
    </w:r>
    <w:r>
      <w:rPr>
        <w:rFonts w:ascii="FreeSerif" w:cs="FreeSerif" w:hAnsi="FreeSerif" w:eastAsia="FreeSerif"/>
        <w:sz w:val="20"/>
        <w:szCs w:val="20"/>
      </w:rPr>
      <w:fldChar w:fldCharType="begin" w:fldLock="0"/>
    </w:r>
    <w:r>
      <w:rPr>
        <w:rFonts w:ascii="FreeSerif" w:cs="FreeSerif" w:hAnsi="FreeSerif" w:eastAsia="FreeSerif"/>
        <w:sz w:val="20"/>
        <w:szCs w:val="20"/>
      </w:rPr>
      <w:instrText xml:space="preserve"> PAGE </w:instrText>
    </w:r>
    <w:r>
      <w:rPr>
        <w:rFonts w:ascii="FreeSerif" w:cs="FreeSerif" w:hAnsi="FreeSerif" w:eastAsia="FreeSerif"/>
        <w:sz w:val="20"/>
        <w:szCs w:val="20"/>
      </w:rPr>
      <w:fldChar w:fldCharType="separate" w:fldLock="0"/>
    </w:r>
    <w:r>
      <w:rPr>
        <w:rFonts w:ascii="FreeSerif" w:cs="FreeSerif" w:hAnsi="FreeSerif" w:eastAsia="FreeSerif"/>
        <w:sz w:val="20"/>
        <w:szCs w:val="20"/>
      </w:rPr>
    </w:r>
    <w:r>
      <w:rPr>
        <w:rFonts w:ascii="FreeSerif" w:cs="FreeSerif" w:hAnsi="FreeSerif" w:eastAsia="FreeSerif"/>
        <w:sz w:val="20"/>
        <w:szCs w:val="20"/>
      </w:rPr>
      <w:fldChar w:fldCharType="end" w:fldLock="0"/>
    </w:r>
    <w:r>
      <w:rPr>
        <w:rFonts w:ascii="FreeSerif" w:hAnsi="FreeSerif"/>
        <w:sz w:val="20"/>
        <w:szCs w:val="20"/>
        <w:rtl w:val="0"/>
        <w:lang w:val="en-US"/>
      </w:rPr>
      <w:t xml:space="preserve"> of </w:t>
    </w:r>
    <w:r>
      <w:rPr>
        <w:rFonts w:ascii="FreeSerif" w:cs="FreeSerif" w:hAnsi="FreeSerif" w:eastAsia="FreeSerif"/>
        <w:sz w:val="20"/>
        <w:szCs w:val="20"/>
      </w:rPr>
      <w:fldChar w:fldCharType="begin" w:fldLock="0"/>
    </w:r>
    <w:r>
      <w:rPr>
        <w:rFonts w:ascii="FreeSerif" w:cs="FreeSerif" w:hAnsi="FreeSerif" w:eastAsia="FreeSerif"/>
        <w:sz w:val="20"/>
        <w:szCs w:val="20"/>
      </w:rPr>
      <w:instrText xml:space="preserve"> NUMPAGES </w:instrText>
    </w:r>
    <w:r>
      <w:rPr>
        <w:rFonts w:ascii="FreeSerif" w:cs="FreeSerif" w:hAnsi="FreeSerif" w:eastAsia="FreeSerif"/>
        <w:sz w:val="20"/>
        <w:szCs w:val="20"/>
      </w:rPr>
      <w:fldChar w:fldCharType="separate" w:fldLock="0"/>
    </w:r>
    <w:r>
      <w:rPr>
        <w:rFonts w:ascii="FreeSerif" w:cs="FreeSerif" w:hAnsi="FreeSerif" w:eastAsia="FreeSerif"/>
        <w:sz w:val="20"/>
        <w:szCs w:val="20"/>
      </w:rPr>
    </w:r>
    <w:r>
      <w:rPr>
        <w:rFonts w:ascii="FreeSerif" w:cs="FreeSerif" w:hAnsi="FreeSerif" w:eastAsia="FreeSerif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Times Roman" w:hAnsi="Times Roman"/>
      </w:rPr>
      <w:tab/>
    </w:r>
    <w:r>
      <w:rPr>
        <w:rStyle w:val="None"/>
        <w:rFonts w:ascii="Times Roman" w:cs="Times Roman" w:hAnsi="Times Roman" w:eastAsia="Times Roman"/>
      </w:rPr>
      <mc:AlternateContent>
        <mc:Choice Requires="wps">
          <w:drawing xmlns:a="http://schemas.openxmlformats.org/drawingml/2006/main">
            <wp:inline distT="0" distB="0" distL="0" distR="0">
              <wp:extent cx="5943474" cy="284795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4" cy="2847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jc w:val="center"/>
                          </w:pPr>
                          <w:r>
                            <w:rPr>
                              <w:rFonts w:ascii="Times Roman" w:hAnsi="Times Roman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Open Music Theory </w:t>
                          </w:r>
                          <w:r>
                            <w:rPr>
                              <w:rFonts w:ascii="Times Roman" w:hAnsi="Times Roman" w:hint="default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"https://viva.pressbooks.pub/openmusictheory/"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en-US"/>
                            </w:rPr>
                            <w:t>https://viva.pressbooks.pub/openmusictheory/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Roman" w:hAnsi="Times Roman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468.0pt;height:22.4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jc w:val="center"/>
                    </w:pPr>
                    <w:r>
                      <w:rPr>
                        <w:rFonts w:ascii="Times Roman" w:hAnsi="Times Roman"/>
                        <w:sz w:val="24"/>
                        <w:szCs w:val="24"/>
                        <w:rtl w:val="0"/>
                        <w:lang w:val="en-US"/>
                      </w:rPr>
                      <w:t xml:space="preserve">Open Music Theory </w:t>
                    </w:r>
                    <w:r>
                      <w:rPr>
                        <w:rFonts w:ascii="Times Roman" w:hAnsi="Times Roman" w:hint="default"/>
                        <w:sz w:val="24"/>
                        <w:szCs w:val="24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"https://viva.pressbooks.pub/openmusictheory/"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en-US"/>
                      </w:rPr>
                      <w:t>https://viva.pressbooks.pub/openmusictheory/</w:t>
                    </w:r>
                    <w:r>
                      <w:rPr/>
                      <w:fldChar w:fldCharType="end" w:fldLock="0"/>
                    </w:r>
                    <w:r>
                      <w:rPr>
                        <w:rStyle w:val="None"/>
                        <w:rFonts w:ascii="Times Roman" w:hAnsi="Times Roman"/>
                        <w:sz w:val="24"/>
                        <w:szCs w:val="24"/>
                        <w:rtl w:val="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Style w:val="None"/>
        <w:rFonts w:ascii="Times Roman" w:cs="Times Roman" w:hAnsi="Times Roman" w:eastAsia="Times Roman"/>
      </w:rPr>
      <mc:AlternateContent>
        <mc:Choice Requires="wps">
          <w:drawing xmlns:a="http://schemas.openxmlformats.org/drawingml/2006/main">
            <wp:inline distT="0" distB="0" distL="0" distR="0">
              <wp:extent cx="5943474" cy="0"/>
              <wp:effectExtent l="0" t="0" r="0" b="0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474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7" style="visibility:visible;width:468.0pt;height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45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31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1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0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287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858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644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sz w:val="24"/>
      <w:szCs w:val="24"/>
      <w:u w:val="singl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1">
    <w:name w:val="Hyperlink.1"/>
    <w:basedOn w:val="None"/>
    <w:next w:val="Hyperlink.1"/>
    <w:rPr>
      <w:u w:val="single"/>
    </w:r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