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Normal Form and Transformations</w:t>
      </w:r>
    </w:p>
    <w:p>
      <w:pPr>
        <w:pStyle w:val="Body"/>
        <w:spacing w:before="32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Name: _________________________________________________________</w:t>
      </w:r>
    </w:p>
    <w:p>
      <w:pPr>
        <w:pStyle w:val="Heading"/>
        <w:bidi w:val="0"/>
      </w:pPr>
      <w:r>
        <w:rPr>
          <w:rtl w:val="0"/>
        </w:rPr>
        <w:t>PART 1</w:t>
      </w:r>
    </w:p>
    <w:p>
      <w:pPr>
        <w:pStyle w:val="Body"/>
        <w:bidi w:val="0"/>
      </w:pPr>
      <w:r>
        <w:rPr>
          <w:rtl w:val="0"/>
        </w:rPr>
        <w:t>Put the following groups of notes into normal form.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908667</wp:posOffset>
            </wp:positionH>
            <wp:positionV relativeFrom="line">
              <wp:posOffset>253647</wp:posOffset>
            </wp:positionV>
            <wp:extent cx="6399566" cy="682375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ormal form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566" cy="682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29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>
        <w:tblPrEx>
          <w:shd w:val="clear" w:color="auto" w:fill="auto"/>
        </w:tblPrEx>
        <w:trPr>
          <w:trHeight w:val="427" w:hRule="atLeast"/>
        </w:trPr>
        <w:tc>
          <w:tcPr>
            <w:tcW w:type="dxa" w:w="1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</w:t>
            </w:r>
          </w:p>
        </w:tc>
        <w:tc>
          <w:tcPr>
            <w:tcW w:type="dxa" w:w="1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</w:t>
            </w:r>
          </w:p>
        </w:tc>
        <w:tc>
          <w:tcPr>
            <w:tcW w:type="dxa" w:w="1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</w:p>
        </w:tc>
        <w:tc>
          <w:tcPr>
            <w:tcW w:type="dxa" w:w="1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</w:p>
        </w:tc>
        <w:tc>
          <w:tcPr>
            <w:tcW w:type="dxa" w:w="1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</w:t>
            </w:r>
          </w:p>
        </w:tc>
        <w:tc>
          <w:tcPr>
            <w:tcW w:type="dxa" w:w="1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PART 2</w:t>
      </w:r>
    </w:p>
    <w:p>
      <w:pPr>
        <w:pStyle w:val="Body"/>
        <w:bidi w:val="0"/>
      </w:pPr>
      <w:r>
        <w:rPr>
          <w:rtl w:val="0"/>
        </w:rPr>
        <w:t xml:space="preserve">You are given the final page of </w:t>
      </w:r>
      <w:r>
        <w:rPr>
          <w:rtl w:val="0"/>
        </w:rPr>
        <w:t>“</w:t>
      </w:r>
      <w:r>
        <w:rPr>
          <w:rtl w:val="0"/>
        </w:rPr>
        <w:t>Nacht</w:t>
      </w:r>
      <w:r>
        <w:rPr>
          <w:rtl w:val="0"/>
        </w:rPr>
        <w:t xml:space="preserve">” </w:t>
      </w:r>
      <w:r>
        <w:rPr>
          <w:rtl w:val="0"/>
        </w:rPr>
        <w:t xml:space="preserve">from </w:t>
      </w:r>
      <w:r>
        <w:rPr>
          <w:i w:val="1"/>
          <w:iCs w:val="1"/>
          <w:rtl w:val="0"/>
          <w:lang w:val="en-US"/>
        </w:rPr>
        <w:t xml:space="preserve">Pierrot Lunaire </w:t>
      </w:r>
      <w:r>
        <w:rPr>
          <w:rtl w:val="0"/>
        </w:rPr>
        <w:t xml:space="preserve">by Arnold Schoenberg.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In measure 20, all the trichords in the piano right hand and left hand can be related with Tn and In. Calculate the T</w:t>
      </w:r>
      <w:r>
        <w:rPr>
          <w:vertAlign w:val="subscript"/>
          <w:rtl w:val="0"/>
          <w:lang w:val="en-US"/>
        </w:rPr>
        <w:t>n</w:t>
      </w:r>
      <w:r>
        <w:rPr>
          <w:rtl w:val="0"/>
        </w:rPr>
        <w:t xml:space="preserve"> and I</w:t>
      </w:r>
      <w:r>
        <w:rPr>
          <w:vertAlign w:val="subscript"/>
          <w:rtl w:val="0"/>
          <w:lang w:val="en-US"/>
        </w:rPr>
        <w:t>n</w:t>
      </w:r>
      <w:r>
        <w:rPr>
          <w:rtl w:val="0"/>
        </w:rPr>
        <w:t xml:space="preserve"> relationships between adjacent trichords (horizontally) as well as trichords that occur simultaneously (vertically). Draw arrows connecting the trichords and label each arrow with the T</w:t>
      </w:r>
      <w:r>
        <w:rPr>
          <w:vertAlign w:val="subscript"/>
          <w:rtl w:val="0"/>
          <w:lang w:val="en-US"/>
        </w:rPr>
        <w:t>n</w:t>
      </w:r>
      <w:r>
        <w:rPr>
          <w:rtl w:val="0"/>
        </w:rPr>
        <w:t>/I</w:t>
      </w:r>
      <w:r>
        <w:rPr>
          <w:vertAlign w:val="subscript"/>
          <w:rtl w:val="0"/>
          <w:lang w:val="en-US"/>
        </w:rPr>
        <w:t>n</w:t>
      </w:r>
      <w:r>
        <w:rPr>
          <w:rtl w:val="0"/>
        </w:rPr>
        <w:t xml:space="preserve"> relationship.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In any instrument, find four other trichords that are related by T</w:t>
      </w:r>
      <w:r>
        <w:rPr>
          <w:vertAlign w:val="subscript"/>
          <w:rtl w:val="0"/>
          <w:lang w:val="en-US"/>
        </w:rPr>
        <w:t>n</w:t>
      </w:r>
      <w:r>
        <w:rPr>
          <w:rtl w:val="0"/>
        </w:rPr>
        <w:t xml:space="preserve"> the ones in m. 20. Draw arrows connecting each pair and label it with the T</w:t>
      </w:r>
      <w:r>
        <w:rPr>
          <w:vertAlign w:val="subscript"/>
          <w:rtl w:val="0"/>
          <w:lang w:val="en-US"/>
        </w:rPr>
        <w:t xml:space="preserve">n </w:t>
      </w:r>
      <w:r>
        <w:rPr>
          <w:rtl w:val="0"/>
        </w:rPr>
        <w:t>relationship.</w:t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ee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6480"/>
        <w:tab w:val="right" w:pos="12960"/>
        <w:tab w:val="clear" w:pos="9020"/>
      </w:tabs>
      <w:bidi w:val="0"/>
      <w:spacing w:after="240" w:line="360" w:lineRule="atLeast"/>
      <w:ind w:left="0" w:right="0" w:firstLine="0"/>
      <w:jc w:val="left"/>
      <w:rPr>
        <w:rtl w:val="0"/>
      </w:rPr>
    </w:pPr>
    <w:r>
      <w:rPr>
        <w:rFonts w:ascii="FreeSerif" w:cs="FreeSerif" w:hAnsi="FreeSerif" w:eastAsia="FreeSerif"/>
        <w:rtl w:val="0"/>
      </w:rPr>
      <w:tab/>
    </w:r>
    <w:r>
      <w:rPr>
        <w:rFonts w:ascii="FreeSerif" w:hAnsi="FreeSerif"/>
        <w:rtl w:val="0"/>
        <w:lang w:val="en-US"/>
      </w:rPr>
      <w:t>Megan Lavengood</w:t>
    </w:r>
    <w:r>
      <w:rPr>
        <w:rFonts w:ascii="FreeSerif" w:hAnsi="FreeSerif"/>
        <w:rtl w:val="0"/>
      </w:rPr>
      <w:t xml:space="preserve">. </w:t>
    </w:r>
    <w:r>
      <w:rPr>
        <w:rFonts w:ascii="FreeSerif" w:hAnsi="FreeSerif" w:hint="default"/>
        <w:rtl w:val="0"/>
        <w:lang w:val="de-DE"/>
      </w:rPr>
      <w:t xml:space="preserve">© </w:t>
    </w:r>
    <w:r>
      <w:rPr>
        <w:rFonts w:ascii="FreeSerif" w:hAnsi="FreeSerif"/>
        <w:rtl w:val="0"/>
      </w:rPr>
      <w:t>2019. CC BY</w:t>
    </w:r>
    <w:r>
      <w:rPr>
        <w:rFonts w:ascii="FreeSerif" w:hAnsi="FreeSerif" w:hint="default"/>
        <w:rtl w:val="0"/>
      </w:rPr>
      <w:t>–</w:t>
    </w:r>
    <w:r>
      <w:rPr>
        <w:rFonts w:ascii="FreeSerif" w:hAnsi="FreeSerif"/>
        <w:rtl w:val="0"/>
      </w:rPr>
      <w:t xml:space="preserve">SA 4.0.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6480"/>
        <w:tab w:val="right" w:pos="129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FreeSerif" w:hAnsi="FreeSerif"/>
        <w:rtl w:val="0"/>
      </w:rPr>
      <w:tab/>
    </w:r>
    <w:r>
      <w:rPr>
        <w:rFonts w:ascii="FreeSerif" w:cs="FreeSerif" w:hAnsi="FreeSerif" w:eastAsia="FreeSerif"/>
        <w:rtl w:val="0"/>
      </w:rPr>
      <mc:AlternateContent>
        <mc:Choice Requires="wps">
          <w:drawing>
            <wp:inline distT="0" distB="0" distL="0" distR="0">
              <wp:extent cx="5943473" cy="284794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473" cy="2847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Default"/>
                            <w:bidi w:val="0"/>
                            <w:ind w:left="0" w:right="0" w:firstLine="0"/>
                            <w:jc w:val="center"/>
                            <w:rPr>
                              <w:rtl w:val="0"/>
                            </w:rPr>
                          </w:pPr>
                          <w:r>
                            <w:rPr>
                              <w:rFonts w:ascii="FreeSerif" w:hAnsi="FreeSerif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Open Music Theory </w:t>
                          </w:r>
                          <w:r>
                            <w:rPr>
                              <w:rFonts w:ascii="FreeSerif" w:hAnsi="FreeSerif" w:hint="default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Style w:val="Hyperlink.0"/>
                              <w:rFonts w:ascii="FreeSerif" w:cs="FreeSerif" w:hAnsi="FreeSerif" w:eastAsia="FreeSerif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  <w:rFonts w:ascii="FreeSerif" w:cs="FreeSerif" w:hAnsi="FreeSerif" w:eastAsia="FreeSerif"/>
                              <w:sz w:val="24"/>
                              <w:szCs w:val="24"/>
                              <w:rtl w:val="0"/>
                            </w:rPr>
                            <w:instrText xml:space="preserve"> HYPERLINK "https://viva.pressbooks.pub/openmusictheory/"</w:instrText>
                          </w:r>
                          <w:r>
                            <w:rPr>
                              <w:rStyle w:val="Hyperlink.0"/>
                              <w:rFonts w:ascii="FreeSerif" w:cs="FreeSerif" w:hAnsi="FreeSerif" w:eastAsia="FreeSerif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Fonts w:ascii="FreeSerif" w:hAnsi="FreeSerif"/>
                              <w:sz w:val="24"/>
                              <w:szCs w:val="24"/>
                              <w:rtl w:val="0"/>
                              <w:lang w:val="en-US"/>
                            </w:rPr>
                            <w:t>https://viva.pressbooks.pub/openmusictheory/</w:t>
                          </w:r>
                          <w:r>
                            <w:rPr>
                              <w:rFonts w:ascii="FreeSerif" w:cs="FreeSerif" w:hAnsi="FreeSerif" w:eastAsia="FreeSerif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rFonts w:ascii="FreeSerif" w:hAnsi="FreeSerif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FreeSerif" w:cs="FreeSerif" w:hAnsi="FreeSerif" w:eastAsia="FreeSerif"/>
                              <w:sz w:val="24"/>
                              <w:szCs w:val="24"/>
                              <w:rtl w:val="0"/>
                            </w:rPr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type="#_x0000_t202" style="visibility:visible;width:468.0pt;height:22.4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Default"/>
                      <w:bidi w:val="0"/>
                      <w:ind w:left="0" w:right="0" w:firstLine="0"/>
                      <w:jc w:val="center"/>
                      <w:rPr>
                        <w:rtl w:val="0"/>
                      </w:rPr>
                    </w:pPr>
                    <w:r>
                      <w:rPr>
                        <w:rFonts w:ascii="FreeSerif" w:hAnsi="FreeSerif"/>
                        <w:sz w:val="24"/>
                        <w:szCs w:val="24"/>
                        <w:rtl w:val="0"/>
                        <w:lang w:val="en-US"/>
                      </w:rPr>
                      <w:t xml:space="preserve">Open Music Theory </w:t>
                    </w:r>
                    <w:r>
                      <w:rPr>
                        <w:rFonts w:ascii="FreeSerif" w:hAnsi="FreeSerif" w:hint="default"/>
                        <w:sz w:val="24"/>
                        <w:szCs w:val="24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Style w:val="Hyperlink.0"/>
                        <w:rFonts w:ascii="FreeSerif" w:cs="FreeSerif" w:hAnsi="FreeSerif" w:eastAsia="FreeSerif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Style w:val="Hyperlink.0"/>
                        <w:rFonts w:ascii="FreeSerif" w:cs="FreeSerif" w:hAnsi="FreeSerif" w:eastAsia="FreeSerif"/>
                        <w:sz w:val="24"/>
                        <w:szCs w:val="24"/>
                        <w:rtl w:val="0"/>
                      </w:rPr>
                      <w:instrText xml:space="preserve"> HYPERLINK "https://viva.pressbooks.pub/openmusictheory/"</w:instrText>
                    </w:r>
                    <w:r>
                      <w:rPr>
                        <w:rStyle w:val="Hyperlink.0"/>
                        <w:rFonts w:ascii="FreeSerif" w:cs="FreeSerif" w:hAnsi="FreeSerif" w:eastAsia="FreeSerif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Style w:val="Hyperlink.0"/>
                        <w:rFonts w:ascii="FreeSerif" w:hAnsi="FreeSerif"/>
                        <w:sz w:val="24"/>
                        <w:szCs w:val="24"/>
                        <w:rtl w:val="0"/>
                        <w:lang w:val="en-US"/>
                      </w:rPr>
                      <w:t>https://viva.pressbooks.pub/openmusictheory/</w:t>
                    </w:r>
                    <w:r>
                      <w:rPr>
                        <w:rFonts w:ascii="FreeSerif" w:cs="FreeSerif" w:hAnsi="FreeSerif" w:eastAsia="FreeSerif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  <w:r>
                      <w:rPr>
                        <w:rFonts w:ascii="FreeSerif" w:hAnsi="FreeSerif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Fonts w:ascii="FreeSerif" w:cs="FreeSerif" w:hAnsi="FreeSerif" w:eastAsia="FreeSerif"/>
                        <w:sz w:val="24"/>
                        <w:szCs w:val="24"/>
                        <w:rtl w:val="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Fonts w:ascii="FreeSerif" w:cs="FreeSerif" w:hAnsi="FreeSerif" w:eastAsia="FreeSerif"/>
        <w:rtl w:val="0"/>
      </w:rPr>
      <mc:AlternateContent>
        <mc:Choice Requires="wps">
          <w:drawing>
            <wp:inline distT="0" distB="0" distL="0" distR="0">
              <wp:extent cx="5943473" cy="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473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_x0000_s1027" style="visibility:visible;width:468.0pt;height:0.0pt;">
              <v:fill on="f"/>
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</v:line>
          </w:pict>
        </mc:Fallback>
      </mc:AlternateContent>
    </w:r>
    <w:r>
      <w:rPr>
        <w:rFonts w:ascii="FreeSerif" w:cs="FreeSerif" w:hAnsi="FreeSerif" w:eastAsia="FreeSerif"/>
        <w:rtl w:val="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reeSerif"/>
            <a:ea typeface="FreeSerif"/>
            <a:cs typeface="FreeSerif"/>
            <a:sym typeface="FreeSeri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